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Дмитрия Георгиевича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в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являющегося </w:t>
      </w:r>
      <w:r>
        <w:rPr>
          <w:rStyle w:val="cat-UserDefinedgrp-3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от налогоплательщика </w:t>
      </w:r>
      <w:r>
        <w:rPr>
          <w:rStyle w:val="cat-User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декларация по налогу на добавленную стоимость за 3 квартал 2023 года не поступала. Установленный законодательством о налогах и сборах срок предоставления декларации по налогу на добавленную стоимость за 3 квартал 2023 год – не позднее 25.10.2023 года, в результате чего 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п.1 ст. 23, п. 5 ст. 174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(п. 6 Постановления Пленума ВС РФ от 24.03.2005 г. № 5), </w:t>
      </w:r>
      <w:r>
        <w:rPr>
          <w:rFonts w:ascii="Times New Roman" w:eastAsia="Times New Roman" w:hAnsi="Times New Roman" w:cs="Times New Roman"/>
          <w:sz w:val="27"/>
          <w:szCs w:val="27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Д.Г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236</w:t>
      </w:r>
      <w:r>
        <w:rPr>
          <w:rFonts w:ascii="Times New Roman" w:eastAsia="Times New Roman" w:hAnsi="Times New Roman" w:cs="Times New Roman"/>
          <w:sz w:val="27"/>
          <w:szCs w:val="27"/>
        </w:rPr>
        <w:t>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17.04.2024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выписки из Единого государственного реестра юридических лиц; справкой об отсутствии декларации к установленному сроку от 26.10.2023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20.02.2024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>; копией списка внутренних почтовых отправлений от 21.02.2024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14.03.2024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14.03.2024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 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Д.Г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предусмотренным ст. 4.3 КоАП РФ,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17.05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.2023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Жаворонкову Д.Г</w:t>
      </w:r>
      <w:r>
        <w:rPr>
          <w:rFonts w:ascii="Times New Roman" w:eastAsia="Times New Roman" w:hAnsi="Times New Roman" w:cs="Times New Roman"/>
          <w:sz w:val="27"/>
          <w:szCs w:val="27"/>
        </w:rPr>
        <w:t>.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уководствуясь ч.1 ст. 29.10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Жаворонкова Дмитрия Георгиевича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(трехсот)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0412365400585008922415174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5305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055D-81BE-4C71-8A2E-C65E4FC9147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